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3</w:t>
      </w:r>
    </w:p>
    <w:p>
      <w:r>
        <w:t>Bundesgericht (BGE), 1981-01-12, DE</w:t>
      </w:r>
    </w:p>
    <w:p>
      <w:r>
        <w:rPr>
          <w:b/>
        </w:rPr>
        <w:t xml:space="preserve">Quelle: </w:t>
      </w:r>
      <w:r>
        <w:t>https://mcp.opencaselaw.ch/entscheid/bge_107 III 3</w:t>
      </w:r>
    </w:p>
    <w:p>
      <w:r>
        <w:t>FR: ATF 107 III 3</w:t>
      </w:r>
    </w:p>
    <w:p>
      <w:r>
        <w:t>IT: DTF 107 III 3</w:t>
      </w:r>
    </w:p>
    <w:p>
      <w:pPr>
        <w:pStyle w:val="Heading2"/>
      </w:pPr>
      <w:r>
        <w:t>Regeste</w:t>
      </w:r>
    </w:p>
    <w:p>
      <w:r>
        <w:t>Regeste Rechtsverzögerung. Stellt die kantonale Aufsichtsbehörde eine Rechtsverzögerung fest, die auf eine generelle Überlastung des betreffenden Amtes zurückzuführen ist, so darf sie sich nicht mit einer blossen Feststellung des Missstandes begnügen, sondern sie hat dafür zu sorgen, dass der Missstand behoben wird.</w:t>
      </w:r>
    </w:p>
    <w:p>
      <w:pPr>
        <w:pStyle w:val="Heading2"/>
      </w:pPr>
      <w:r>
        <w:t>Erwägungen</w:t>
      </w:r>
    </w:p>
    <w:p>
      <w:r>
        <w:rPr>
          <w:b/>
        </w:rPr>
        <w:t>E. 2</w:t>
      </w:r>
    </w:p>
    <w:p>
      <w:r>
        <w:t>Die kantonalen Aufsichtsbehörden haben zu Recht eine Rechtsverzögerung festgestellt. Wenn es auch in vielen Fällen unmöglich ist, ein Konkursverfahren binnen der in Art. 270 SchKG vorgesehenen Frist von sechs Monaten abzuschliessen, so geht es doch keinesfalls an, ein Verfahren während Jahren einfach liegen zu lassen, wie es hier geschehen ist. Besonders bedenklich ist, dass vier Jahre nach der Konkurseröffnung noch nicht einmal der Kollokationsplan erstellt ist, obwohl dies nach der Vorstellung des Gesetzgebers innerhalb von 20 Tagen nach Ablauf der Eingabefrist geschehen sollte ( Art. 247 SchKG ). Die Gläubiger haben einen Anspruch darauf, dass das Konkursverfahren ohne unnötige Verzögerung durchgeführt wird. Auch wenn ihre Forderungen schliesslich gedeckt werden, erleiden sie durch die Verlängerung des Verfahrens doch einen entsprechend grösseren Zinsverlust. Handelt es sich wie im vorliegenden Fall um einen Konkurs, in dem Lohnforderungen geltend gemacht werden, so sprechen auch sozialpolitische Überlegungen dafür, dass die Gläubiger möglichst rasch zu ihrem Geld kommen. Den kantonalen Behörden ist auch darin Recht zu geben, BGE 107 III 3 S. 6 dass der Konkursbeamte trotz der festgestellten Rechtsverzögerung nicht einfach angewiesen werden kann, das vorliegende Konkursverfahren sofort zu Ende zu führen. Zwar sieht Art. 21 SchKG vor, dass die Aufsichtsbehörde den Vollzug der Handlungen anzuordnen habe, deren Vornahme der Beamte unbegründetermassen verweigere oder verzögere. Das kann jedoch nicht ohne weiteres gelten, wenn die Verzögerung wie hier auf eine generelle Überlastung des Beamten zurückzuführen ist. In einem solchen Fall hätte die bevorzugte Behandlung des einen Konkurses notwendig zur Folge, dass andere, noch ältere Verfahren noch länger liegen bleiben würden. Das aber wäre mit dem Gebot rechtsgleicher Behandlung nicht vereinbar (vgl. BGE 103 V 199 ).</w:t>
      </w:r>
    </w:p>
    <w:p>
      <w:r>
        <w:rPr>
          <w:b/>
        </w:rPr>
        <w:t>E. 3</w:t>
      </w:r>
    </w:p>
    <w:p>
      <w:r>
        <w:t>Mit der blossen Feststellung einer Rechtsverzögerung durfte sich die Vorinstanz indessen nicht begnügen. In ihrer Eigenschaft als kantonale Aufsichtsbehörde über die Konkursämter wäre sie vielmehr verpflichtet gewesen, dafür zu sorgen, dass die beim Konkursamt Zofingen herrschenden Missstände behoben werden. So hätte sie beispielsweise gestützt auf § 4 Abs. 1 des Dekrets über die Organisation des Konkurswesens vom 19. August 1975 einzelne Geschäfte des Konkursamtes Zofingen zu dessen Entlastung den Konkursbeamten anderer Bezirke zuweisen können. Abs. 3 der genannten Bestimmung hätte es ihr sodann erlaubt, auch befähigte Drittpersonen als ausserordentliche Stellvertreter einzusetzen. Deren Entschädigung hätte sie freilich nur im Einvernehmen mit der Finanzverwaltung festsetzen können, wobei nach § 8 des Dekrets der Regierungsrat zu entscheiden gehabt hätte, wenn eine Einigung nicht zustande gekommen wäre. Als weitere Massnahme wäre die vorübergehende Delegierung eines Gerichtsschreibers des Obergerichts oder, im Einvernehmen mit der Verwaltung, eines geeigneten Verwaltungsbeamten in Frage gekommen. Schliesslich hätte die Vorinstanz darauf bestehen können, dass § 2 Abs. 2 des Dekrets, wonach den Konkursämtern das erforderliche Kanzleipersonal beizugeben ist, Nachachtung verschafft werde, hat sich doch der Konkursbeamte in seiner Vernehmlassung darüber beklagt, dass ihm als Hilfskraft nur eine Halbtagssekretärin zur Verfügung stehe. Jedenfalls durfte sie nicht einfach die Hände in den Schoss legen, zumal ihr die Verhältnisse am Konkursamt Zofingen seit Jahren bekannt sind. Dass sich die vorgesehene Schaffung der Stelle eines leitenden BGE 107 III 3 S. 7 Konkursbeamten auf die bereits hängigen Konkursverfahren kaum spürbar auswirken wird, räumt die Vorinstanz selbst ein. Es ist nicht Sache des Bundesgerichts, darüber zu befinden, mit welchen Mitteln die bestehenden Missstände am besten saniert werden können. Die Sache ist daher an die Vorinstanz zurückzuweisen, damit diese die geeigneten Massnahmen treffe. Dabei wird sie freilich zum Teil auf das Einverständnis von Regierung und Verwaltung angewiesen sein. Die kantonalen Behörden werden ihre Mithilfe indessen nicht unter Berufung auf fehlende Mittel oder allfällige Beschränkungen bei der Einstellung von Staatspersonal verweigern dürfen, da der Kanton als Ganzes seinen Bürgern gegenüber zur Gewährung einer ordnungsgemässen Rechtspflege, zu der in einem weiteren Sinn auch das Konkurswesen gehört, verpflichtet ist und er sich haftbar machen kann, wenn er dieser Verpflichtung nicht nachkommt. In diesem Sinne ist der Rekurs gutzuheissen.</w:t>
      </w:r>
    </w:p>
    <w:p>
      <w:r>
        <w:rPr>
          <w:b/>
        </w:rPr>
        <w:t>E. 4</w:t>
      </w:r>
    </w:p>
    <w:p>
      <w:r>
        <w:t>Da die Vorinstanz die festgestellten Mängel möglicherweise nicht aus eigener Kraft beheben kann, erscheint es angezeigt, das vorliegende Urteil auch dem Regierungsrat des Kantons Aargau zur Kenntnis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